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176E" w14:textId="77777777" w:rsidR="005041B2" w:rsidRPr="005041B2" w:rsidRDefault="005041B2" w:rsidP="005041B2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B93B8E"/>
          <w:spacing w:val="10"/>
          <w:sz w:val="20"/>
          <w:szCs w:val="20"/>
          <w:lang w:val="es-ES_tradnl"/>
        </w:rPr>
      </w:pPr>
      <w:r w:rsidRPr="005041B2">
        <w:rPr>
          <w:rFonts w:ascii="New Era Casual" w:hAnsi="New Era Casual" w:cs="New Era Casual"/>
          <w:caps/>
          <w:color w:val="B93B8E"/>
          <w:spacing w:val="10"/>
          <w:sz w:val="20"/>
          <w:szCs w:val="20"/>
          <w:lang w:val="es-ES_tradnl"/>
        </w:rPr>
        <w:t>Salidas desde Lisboa</w:t>
      </w:r>
    </w:p>
    <w:p w14:paraId="6ED7C0E9" w14:textId="77777777" w:rsidR="00EA75BC" w:rsidRPr="00EA75BC" w:rsidRDefault="00EA75BC" w:rsidP="00EA75BC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EA75BC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Lisboa, Andalucía y Marruecos</w:t>
      </w:r>
    </w:p>
    <w:p w14:paraId="6610956A" w14:textId="77777777" w:rsidR="00EA75BC" w:rsidRPr="00EA75BC" w:rsidRDefault="00EA75BC" w:rsidP="00EA75BC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C-313203</w:t>
      </w:r>
    </w:p>
    <w:p w14:paraId="2540FD91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494C7965" w14:textId="77777777" w:rsidR="00D000AA" w:rsidRPr="00D000AA" w:rsidRDefault="008C2DC0" w:rsidP="00EA75BC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EA75BC" w:rsidRPr="00EA75BC">
        <w:t>Lisboa 3. Sevilla 2. Córdoba 1. Costa del Sol 2. Fez 2. Tánger 1. Granada 1. Madrid 2.</w:t>
      </w:r>
    </w:p>
    <w:p w14:paraId="15D9E9BE" w14:textId="77777777" w:rsidR="008C2DC0" w:rsidRDefault="00EA75BC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15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63E8CD87" w14:textId="3C801911" w:rsidR="00D000AA" w:rsidRPr="00EA75BC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EA75BC" w:rsidRPr="00EA75BC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2.</w:t>
      </w:r>
      <w:r w:rsidR="00F53321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3</w:t>
      </w:r>
      <w:r w:rsidR="00EA75BC" w:rsidRPr="00EA75BC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00</w:t>
      </w:r>
      <w:r w:rsidR="00D000AA" w:rsidRPr="00D000AA">
        <w:rPr>
          <w:rFonts w:ascii="New Era Casual" w:hAnsi="New Era Casual" w:cs="New Era Casual"/>
          <w:color w:val="00812F"/>
          <w:position w:val="2"/>
          <w:sz w:val="20"/>
          <w:szCs w:val="20"/>
        </w:rPr>
        <w:t xml:space="preserve"> 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75219406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(Miércoles) LISBOA</w:t>
      </w:r>
    </w:p>
    <w:p w14:paraId="24389E2C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de Lisboa. Recepción y traslado al hotel. </w:t>
      </w: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Alojamiento. 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Resto del día libre.</w:t>
      </w:r>
    </w:p>
    <w:p w14:paraId="2B18B85B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E6541A3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(Jueves) LISBOA</w:t>
      </w:r>
    </w:p>
    <w:p w14:paraId="3D940E77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visita panorámica de esta bella ciudad situada en la desembocadura del río Tajo: Barrio de Alfama, Torre de Belem, Monasterio de los Jerónimos, etc. Tarde libre. Recomendamos una excursión opcional a Sintra, Cascais, Estoril.</w:t>
      </w:r>
    </w:p>
    <w:p w14:paraId="73FBB5A2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A73EFDB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(Viernes) LISBOA-FATIMA-LISBOA (264 kms)</w:t>
      </w:r>
    </w:p>
    <w:p w14:paraId="6CC55C87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salida hacia Fátima, importante centro de peregrinación. Tiempo libre para visitar la Basílica y posteriormente regreso a Lisboa.</w:t>
      </w:r>
    </w:p>
    <w:p w14:paraId="6A7B9B2E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2FD2288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(Sábado) LISBOA-CÁCERES-SEVILLA (575 kms)</w:t>
      </w:r>
    </w:p>
    <w:p w14:paraId="642287AE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la frontera española para llegar hasta Cáceres. Tiempo libre para conocer su Plaza Mayor y el casco antiguo con su barrio medieval, considerado Patrimonio de la Humanidad. Almuerzo libre. Posteriormente salida por la Autovía de la Plata hacia Andalucía para llegar a Sevilla. </w:t>
      </w: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1BBC1AF8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A636022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(Domingo) SEVILLA</w:t>
      </w:r>
    </w:p>
    <w:p w14:paraId="716BA921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Media pensión. 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 y por la noche continuar con un espectáculo de baile flamenco.</w:t>
      </w:r>
    </w:p>
    <w:p w14:paraId="4A443A58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67F166A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(Lunes) SEVILLA-CÓRDOBA (145 kms)</w:t>
      </w:r>
    </w:p>
    <w:p w14:paraId="448BAF2F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Salida hacia la ciudad de Córdoba. Comenzaremos nuestra visita a pie desde la Puerta de Almodovar para llegar al barrio Judío y continuar con la visita del interior de la famosa Mezquita/Catedral. Resto del tiempo libre. </w:t>
      </w: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Cena y alojamiento. </w:t>
      </w:r>
    </w:p>
    <w:p w14:paraId="3DCC6D46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688F00B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7º (Martes) CÓRDOBA-RONDA-COSTA DEL SOL (322 kms)</w:t>
      </w:r>
    </w:p>
    <w:p w14:paraId="2E6DB921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por la Ruta de los Pueblos Blancos hacia Ronda. Tiempo libre en esta bella población andaluza y continuación hacia la Costa del Sol. </w:t>
      </w: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4263E661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D89E458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8º (Miércoles) COSTA DEL SOL-TÁNGER-FEZ (Ferry) (480 kms)</w:t>
      </w:r>
    </w:p>
    <w:p w14:paraId="7E09B3EB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desde la Costa del Sol para embarcar rumbo a Tánger cruzando el Estrecho de Gibraltar. Llegada a Marruecos y continuación a Fez. </w:t>
      </w: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5548482A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1054E98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9º (Jueves) FEZ </w:t>
      </w:r>
    </w:p>
    <w:p w14:paraId="53A5072B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Visita de Fez,</w:t>
      </w: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 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la primera de las ciudades imperiales y la capital intelectual y religiosa de Marruecos. Comenzaremos con un recorrido panorámico para conocer el palacio real y sus 7 puertas o Dar Al-Makhzen de camino al fascinante mundo de la medina de Fez El Bali, la más antigua y extensa de Marruecos , con 785 mezquitas y más de 2.000 plazas, calles y callejuelas que suponen un laberintico regreso en el tiempo. Desde Bab Boujloud hasta la plaza Es-Seffarine realizaremos un viaje a través de los siglos, a lo largo del paseo conoceremos como se estructuran estas callejuelas, gremios de artesanos y barrio de curtidores de pieles o costureros para ver sus antiguas formas de trabajo y conoceremos una Medersa. </w:t>
      </w: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7D10D050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9148926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spacing w:val="-2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b/>
          <w:bCs/>
          <w:color w:val="E50000"/>
          <w:spacing w:val="-2"/>
          <w:w w:val="90"/>
          <w:sz w:val="17"/>
          <w:szCs w:val="17"/>
          <w:lang w:val="es-ES_tradnl"/>
        </w:rPr>
        <w:t>Día 10º (Viernes) FEZ-RABAT-TÁNGER (465 kms)</w:t>
      </w:r>
    </w:p>
    <w:p w14:paraId="73DE227C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a Rabat, la capital administrativa del país, otra de las ciudades imperiales y residencia oficial de la familia real. Visitaremos la Tour Hassan, mezquita inacabada con más de 200 columnas y el Mausoleo de Mohamed V, construido en recuerdo del sultán que consiguió la independencia del país. Continuación a Tánger. </w:t>
      </w: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2BDDEB48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B97E2EC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11º (Sábado) TÁNGER-COSTA DEL SOL (Ferry) (230 kms)</w:t>
      </w:r>
    </w:p>
    <w:p w14:paraId="0CE979AA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Mañana libre. Salida para embarcar con destino a la Costa del Sol.</w:t>
      </w: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 Cena y alojamiento. </w:t>
      </w:r>
    </w:p>
    <w:p w14:paraId="73ED2108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B192B89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12º (Domingo) COSTA DEL SOL-GRANADA* (180 Kms)</w:t>
      </w:r>
    </w:p>
    <w:p w14:paraId="3FA81BE2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hacia Granada. Visita del impresionante conjunto monumental de La Alhambra y el Generalife. </w:t>
      </w: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noche visita opcional a las cuevas del Sacromonte con espectáculo de zambra flamenca.</w:t>
      </w:r>
    </w:p>
    <w:p w14:paraId="2F428358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5B5A36F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13º (Lunes) GRANADA-TOLEDO-MADRID (446 kms)</w:t>
      </w:r>
    </w:p>
    <w:p w14:paraId="444B9258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spacing w:val="3"/>
          <w:w w:val="90"/>
          <w:sz w:val="17"/>
          <w:szCs w:val="17"/>
          <w:lang w:val="es-ES_tradnl"/>
        </w:rPr>
      </w:pPr>
      <w:r w:rsidRPr="00EA75BC">
        <w:rPr>
          <w:rFonts w:ascii="Avenir Next Demi Bold" w:hAnsi="Avenir Next Demi Bold" w:cs="Avenir Next Demi Bold"/>
          <w:b/>
          <w:bCs/>
          <w:color w:val="000000"/>
          <w:spacing w:val="3"/>
          <w:w w:val="90"/>
          <w:sz w:val="17"/>
          <w:szCs w:val="17"/>
          <w:lang w:val="es-ES_tradnl"/>
        </w:rPr>
        <w:t>Desayuno</w:t>
      </w:r>
      <w:r w:rsidRPr="00EA75BC">
        <w:rPr>
          <w:rFonts w:ascii="Avenir Next" w:hAnsi="Avenir Next" w:cs="Avenir Next"/>
          <w:color w:val="000000"/>
          <w:spacing w:val="3"/>
          <w:w w:val="90"/>
          <w:sz w:val="17"/>
          <w:szCs w:val="17"/>
          <w:lang w:val="es-ES_tradnl"/>
        </w:rPr>
        <w:t xml:space="preserve"> y salida hacia la imperial ciudad de Toledo, cuna de civilizaciones. </w:t>
      </w:r>
      <w:r w:rsidRPr="00EA75BC">
        <w:rPr>
          <w:rFonts w:ascii="Avenir Next Demi Bold" w:hAnsi="Avenir Next Demi Bold" w:cs="Avenir Next Demi Bold"/>
          <w:b/>
          <w:bCs/>
          <w:color w:val="000000"/>
          <w:spacing w:val="3"/>
          <w:w w:val="90"/>
          <w:sz w:val="17"/>
          <w:szCs w:val="17"/>
          <w:lang w:val="es-ES_tradnl"/>
        </w:rPr>
        <w:t>Almuerzo</w:t>
      </w:r>
      <w:r w:rsidRPr="00EA75BC">
        <w:rPr>
          <w:rFonts w:ascii="Avenir Next" w:hAnsi="Avenir Next" w:cs="Avenir Next"/>
          <w:color w:val="000000"/>
          <w:spacing w:val="3"/>
          <w:w w:val="90"/>
          <w:sz w:val="17"/>
          <w:szCs w:val="17"/>
          <w:lang w:val="es-ES_tradnl"/>
        </w:rPr>
        <w:t xml:space="preserve">. Posteriormente continuación hacia Madrid. Llegada y </w:t>
      </w:r>
      <w:r w:rsidRPr="00EA75BC">
        <w:rPr>
          <w:rFonts w:ascii="Avenir Next Demi Bold" w:hAnsi="Avenir Next Demi Bold" w:cs="Avenir Next Demi Bold"/>
          <w:b/>
          <w:bCs/>
          <w:color w:val="000000"/>
          <w:spacing w:val="3"/>
          <w:w w:val="90"/>
          <w:sz w:val="17"/>
          <w:szCs w:val="17"/>
          <w:lang w:val="es-ES_tradnl"/>
        </w:rPr>
        <w:t>alojamiento.</w:t>
      </w:r>
      <w:r w:rsidRPr="00EA75BC">
        <w:rPr>
          <w:rFonts w:ascii="Avenir Next" w:hAnsi="Avenir Next" w:cs="Avenir Next"/>
          <w:color w:val="000000"/>
          <w:spacing w:val="3"/>
          <w:w w:val="90"/>
          <w:sz w:val="17"/>
          <w:szCs w:val="17"/>
          <w:lang w:val="es-ES_tradnl"/>
        </w:rPr>
        <w:t xml:space="preserve"> </w:t>
      </w:r>
    </w:p>
    <w:p w14:paraId="223A1C94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A670EBE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14º (Martes) MADRID</w:t>
      </w:r>
    </w:p>
    <w:p w14:paraId="4EAD529C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mañana, visita panorámica de la ciudad con amplio recorrido a través de sus mas importantes avenidas, plazas y edificios. Resto del día libre.</w:t>
      </w:r>
    </w:p>
    <w:p w14:paraId="6A46FE5D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09931DE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15º (Miércoles) MADRID</w:t>
      </w:r>
    </w:p>
    <w:p w14:paraId="501AE3B2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 Fín de los servicios.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Puede finalizar sus servicios este día en Madrid o regresar a Lisboa en nuestro autobús sin costo adicional finalizando a la llegada a Lisboa. </w:t>
      </w:r>
    </w:p>
    <w:p w14:paraId="329DF988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17AB663" w14:textId="77777777" w:rsidR="00EA75BC" w:rsidRPr="00EA75BC" w:rsidRDefault="00EA75BC" w:rsidP="00EA75BC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</w:pPr>
      <w:r w:rsidRPr="00EA75BC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Notas:</w:t>
      </w:r>
    </w:p>
    <w:p w14:paraId="0BB3E7F5" w14:textId="77777777" w:rsidR="00EA75BC" w:rsidRPr="00EA75BC" w:rsidRDefault="00EA75BC" w:rsidP="00EA75BC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EA75BC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EA75BC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No se permite más de una maleta por pasajero.</w:t>
      </w:r>
    </w:p>
    <w:p w14:paraId="0FD65C60" w14:textId="77777777" w:rsidR="00EA75BC" w:rsidRPr="00EA75BC" w:rsidRDefault="00EA75BC" w:rsidP="00EA75BC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EA75BC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lastRenderedPageBreak/>
        <w:t>-</w:t>
      </w:r>
      <w:r w:rsidRPr="00EA75BC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En Marruecos los pasajeros deberán pasar el control de aduanas con sus equipajes.</w:t>
      </w:r>
    </w:p>
    <w:p w14:paraId="2DA29575" w14:textId="77777777" w:rsidR="00EA75BC" w:rsidRPr="00EA75BC" w:rsidRDefault="00EA75BC" w:rsidP="00EA75BC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EA75BC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EA75BC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Indispensable datos del pasaporte 72 horas antes de la salida.</w:t>
      </w:r>
    </w:p>
    <w:p w14:paraId="514C8763" w14:textId="77777777" w:rsidR="00EA75BC" w:rsidRPr="00EA75BC" w:rsidRDefault="00EA75BC" w:rsidP="00EA75BC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EA75BC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EA75BC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El itinerario de Marruecos podrá ser modificado sin variar sustancialmente los servicios.</w:t>
      </w:r>
    </w:p>
    <w:p w14:paraId="7FF2D1A7" w14:textId="77777777" w:rsidR="00EA75BC" w:rsidRPr="00EA75BC" w:rsidRDefault="00EA75BC" w:rsidP="00EA75BC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EA75BC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EA75BC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 xml:space="preserve">Durante la estancia en Madrid no se dispondrá de servicios de guía correo. </w:t>
      </w:r>
    </w:p>
    <w:p w14:paraId="2161FB11" w14:textId="77777777" w:rsidR="00EA75BC" w:rsidRPr="00EA75BC" w:rsidRDefault="00EA75BC" w:rsidP="00EA75BC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EA75BC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EA75BC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La visita en Madrid se realiza en tour regular.</w:t>
      </w:r>
    </w:p>
    <w:p w14:paraId="46E97758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05943F58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234EB450" w14:textId="77777777" w:rsidR="00EA75BC" w:rsidRPr="00EA75BC" w:rsidRDefault="00EA75BC" w:rsidP="00EA75BC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Miércoles (Todo el año)</w:t>
      </w:r>
    </w:p>
    <w:p w14:paraId="1D683463" w14:textId="77777777" w:rsidR="00EE5CAB" w:rsidRDefault="00EA75BC" w:rsidP="00EA75BC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(excepto 2/Agosto)</w:t>
      </w:r>
    </w:p>
    <w:p w14:paraId="41AE6CD7" w14:textId="77777777" w:rsidR="00EA75BC" w:rsidRPr="00EE5CAB" w:rsidRDefault="00EA75BC" w:rsidP="00EA75BC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5B925AC2" w14:textId="3FFCC86A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18B09879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after="5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Lisboa.</w:t>
      </w:r>
    </w:p>
    <w:p w14:paraId="49D6252F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after="5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375D6400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after="5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14D22B5F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after="5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Visita con guía local en Lisboa, Sevilla, Córdoba, Fez, Rabat, Granada, Toledo y Madrid. </w:t>
      </w:r>
    </w:p>
    <w:p w14:paraId="5DD6870B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after="5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0A079F4B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after="5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2 almuerzos y 8 cenas.</w:t>
      </w:r>
    </w:p>
    <w:p w14:paraId="6176C21B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after="5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2401790D" w14:textId="77777777" w:rsidR="00EA75BC" w:rsidRPr="00EA75BC" w:rsidRDefault="00EA75BC" w:rsidP="00EA75BC">
      <w:pPr>
        <w:suppressAutoHyphens/>
        <w:autoSpaceDE w:val="0"/>
        <w:autoSpaceDN w:val="0"/>
        <w:adjustRightInd w:val="0"/>
        <w:spacing w:after="5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Pasaje fast-Ferry, ida/vuelta.</w:t>
      </w:r>
    </w:p>
    <w:p w14:paraId="678DA922" w14:textId="77777777" w:rsidR="00EE5CAB" w:rsidRPr="00EE5CAB" w:rsidRDefault="00EA75BC" w:rsidP="00EA75BC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A75BC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Tasa Municipal en Lisboa.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409E6D25" w14:textId="77777777" w:rsidR="00EA75BC" w:rsidRDefault="00EA75BC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18CDFE95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2120"/>
        <w:gridCol w:w="284"/>
      </w:tblGrid>
      <w:tr w:rsidR="00EA75BC" w:rsidRPr="00EA75BC" w14:paraId="09533CF5" w14:textId="77777777">
        <w:trPr>
          <w:trHeight w:val="60"/>
          <w:tblHeader/>
        </w:trPr>
        <w:tc>
          <w:tcPr>
            <w:tcW w:w="941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31AC6150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1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3D1E02F8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284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364B3D1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EA75BC" w:rsidRPr="00EA75BC" w14:paraId="56A006E5" w14:textId="77777777">
        <w:trPr>
          <w:trHeight w:val="60"/>
        </w:trPr>
        <w:tc>
          <w:tcPr>
            <w:tcW w:w="9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28" w:type="dxa"/>
            </w:tcMar>
          </w:tcPr>
          <w:p w14:paraId="59564949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Lisboa</w:t>
            </w:r>
          </w:p>
        </w:tc>
        <w:tc>
          <w:tcPr>
            <w:tcW w:w="21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28" w:type="dxa"/>
            </w:tcMar>
          </w:tcPr>
          <w:p w14:paraId="5E465DE5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Lutecia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0" w:type="dxa"/>
            </w:tcMar>
          </w:tcPr>
          <w:p w14:paraId="4C8CF501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A75BC" w:rsidRPr="00EA75BC" w14:paraId="51B12632" w14:textId="77777777">
        <w:trPr>
          <w:trHeight w:val="60"/>
        </w:trPr>
        <w:tc>
          <w:tcPr>
            <w:tcW w:w="9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0" w:type="dxa"/>
            </w:tcMar>
          </w:tcPr>
          <w:p w14:paraId="54356FBC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21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0" w:type="dxa"/>
            </w:tcMar>
          </w:tcPr>
          <w:p w14:paraId="210C5265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Meliá Lebreros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0" w:type="dxa"/>
            </w:tcMar>
          </w:tcPr>
          <w:p w14:paraId="70C1B106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A75BC" w:rsidRPr="00EA75BC" w14:paraId="5FA3EEF7" w14:textId="77777777">
        <w:trPr>
          <w:trHeight w:val="60"/>
        </w:trPr>
        <w:tc>
          <w:tcPr>
            <w:tcW w:w="9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0" w:type="dxa"/>
            </w:tcMar>
          </w:tcPr>
          <w:p w14:paraId="14131F1D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Cordoba</w:t>
            </w:r>
          </w:p>
        </w:tc>
        <w:tc>
          <w:tcPr>
            <w:tcW w:w="21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0" w:type="dxa"/>
            </w:tcMar>
          </w:tcPr>
          <w:p w14:paraId="3C9D51EF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Exe Ciudad de Córdoba 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0" w:type="dxa"/>
            </w:tcMar>
          </w:tcPr>
          <w:p w14:paraId="7A5D12B7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A75BC" w:rsidRPr="00EA75BC" w14:paraId="181A7591" w14:textId="77777777">
        <w:trPr>
          <w:trHeight w:val="60"/>
        </w:trPr>
        <w:tc>
          <w:tcPr>
            <w:tcW w:w="9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28" w:type="dxa"/>
            </w:tcMar>
          </w:tcPr>
          <w:p w14:paraId="2F135691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Costa del Sol</w:t>
            </w:r>
          </w:p>
        </w:tc>
        <w:tc>
          <w:tcPr>
            <w:tcW w:w="21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28" w:type="dxa"/>
            </w:tcMar>
          </w:tcPr>
          <w:p w14:paraId="13ECD48A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Principe (Torremolinos)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0" w:type="dxa"/>
            </w:tcMar>
          </w:tcPr>
          <w:p w14:paraId="7FA28021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A75BC" w:rsidRPr="00EA75BC" w14:paraId="12C31B4F" w14:textId="77777777">
        <w:trPr>
          <w:trHeight w:val="60"/>
        </w:trPr>
        <w:tc>
          <w:tcPr>
            <w:tcW w:w="9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28" w:type="dxa"/>
            </w:tcMar>
          </w:tcPr>
          <w:p w14:paraId="4A1CEDA7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Fez</w:t>
            </w:r>
          </w:p>
        </w:tc>
        <w:tc>
          <w:tcPr>
            <w:tcW w:w="21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28" w:type="dxa"/>
            </w:tcMar>
          </w:tcPr>
          <w:p w14:paraId="52D5FF6D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spacing w:val="-2"/>
                <w:w w:val="80"/>
                <w:sz w:val="17"/>
                <w:szCs w:val="17"/>
                <w:lang w:val="es-ES_tradnl"/>
              </w:rPr>
              <w:t>Les Merinides/Zalagh Parc Palace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0" w:type="dxa"/>
            </w:tcMar>
          </w:tcPr>
          <w:p w14:paraId="76B4D7AE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A75BC" w:rsidRPr="00EA75BC" w14:paraId="51635224" w14:textId="77777777">
        <w:trPr>
          <w:trHeight w:val="60"/>
        </w:trPr>
        <w:tc>
          <w:tcPr>
            <w:tcW w:w="9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28" w:type="dxa"/>
            </w:tcMar>
          </w:tcPr>
          <w:p w14:paraId="61FB6B28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Tánger</w:t>
            </w:r>
          </w:p>
        </w:tc>
        <w:tc>
          <w:tcPr>
            <w:tcW w:w="21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28" w:type="dxa"/>
            </w:tcMar>
          </w:tcPr>
          <w:p w14:paraId="054AC5FC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Farah Tanger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0" w:type="dxa"/>
            </w:tcMar>
          </w:tcPr>
          <w:p w14:paraId="209A0FF8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A75BC" w:rsidRPr="00EA75BC" w14:paraId="1E457EA5" w14:textId="77777777">
        <w:trPr>
          <w:trHeight w:val="60"/>
        </w:trPr>
        <w:tc>
          <w:tcPr>
            <w:tcW w:w="9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28" w:type="dxa"/>
            </w:tcMar>
          </w:tcPr>
          <w:p w14:paraId="6A531FFE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Granada</w:t>
            </w:r>
          </w:p>
        </w:tc>
        <w:tc>
          <w:tcPr>
            <w:tcW w:w="21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28" w:type="dxa"/>
            </w:tcMar>
          </w:tcPr>
          <w:p w14:paraId="11FF4937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Los Ángeles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0" w:type="dxa"/>
            </w:tcMar>
          </w:tcPr>
          <w:p w14:paraId="09A872B7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A75BC" w:rsidRPr="00EA75BC" w14:paraId="19E239BE" w14:textId="77777777">
        <w:trPr>
          <w:trHeight w:val="60"/>
        </w:trPr>
        <w:tc>
          <w:tcPr>
            <w:tcW w:w="9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28" w:type="dxa"/>
            </w:tcMar>
          </w:tcPr>
          <w:p w14:paraId="6B184134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1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28" w:type="dxa"/>
            </w:tcMar>
          </w:tcPr>
          <w:p w14:paraId="1C8A49C0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Toledo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0" w:type="dxa"/>
              <w:right w:w="0" w:type="dxa"/>
            </w:tcMar>
          </w:tcPr>
          <w:p w14:paraId="003C06EC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EA75BC" w:rsidRPr="00EA75BC" w14:paraId="10990A7B" w14:textId="77777777">
        <w:trPr>
          <w:trHeight w:val="60"/>
        </w:trPr>
        <w:tc>
          <w:tcPr>
            <w:tcW w:w="9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30" w:type="dxa"/>
              <w:right w:w="28" w:type="dxa"/>
            </w:tcMar>
          </w:tcPr>
          <w:p w14:paraId="16CDF5BC" w14:textId="77777777" w:rsidR="00EA75BC" w:rsidRPr="00EA75BC" w:rsidRDefault="00EA75BC" w:rsidP="00EA75BC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1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30" w:type="dxa"/>
              <w:right w:w="28" w:type="dxa"/>
            </w:tcMar>
          </w:tcPr>
          <w:p w14:paraId="7658E89E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30" w:type="dxa"/>
              <w:right w:w="0" w:type="dxa"/>
            </w:tcMar>
          </w:tcPr>
          <w:p w14:paraId="4BE0F80E" w14:textId="77777777" w:rsidR="00EA75BC" w:rsidRPr="00EA75BC" w:rsidRDefault="00EA75BC" w:rsidP="00EA75BC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A75BC" w:rsidRPr="00EA75BC" w14:paraId="0D3B9E9E" w14:textId="77777777">
        <w:trPr>
          <w:trHeight w:hRule="exact" w:val="60"/>
        </w:trPr>
        <w:tc>
          <w:tcPr>
            <w:tcW w:w="3345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28" w:type="dxa"/>
            </w:tcMar>
          </w:tcPr>
          <w:p w14:paraId="5A33B88B" w14:textId="77777777" w:rsidR="00EA75BC" w:rsidRPr="00EA75BC" w:rsidRDefault="00EA75BC" w:rsidP="00EA75BC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</w:tr>
      <w:tr w:rsidR="00EA75BC" w:rsidRPr="00EA75BC" w14:paraId="06C18CFB" w14:textId="77777777">
        <w:trPr>
          <w:trHeight w:val="60"/>
        </w:trPr>
        <w:tc>
          <w:tcPr>
            <w:tcW w:w="3345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28" w:type="dxa"/>
            </w:tcMar>
          </w:tcPr>
          <w:p w14:paraId="4340B903" w14:textId="77777777" w:rsidR="00EA75BC" w:rsidRPr="00EA75BC" w:rsidRDefault="00EA75BC" w:rsidP="00EA75BC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EA75BC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 xml:space="preserve">Notas: </w:t>
            </w:r>
            <w:r w:rsidRPr="00EA75BC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>Las salidas de 25/Oct-27/Dic, pernoctarán en el Hotel Sol Don Pablo (Torremolinos).</w:t>
            </w:r>
          </w:p>
          <w:p w14:paraId="250688F9" w14:textId="77777777" w:rsidR="00EA75BC" w:rsidRPr="00EA75BC" w:rsidRDefault="00EA75BC" w:rsidP="00EA75BC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Las salidas 25/Oct-29/Nov, pernoctarán en el Hotel Exe Las Adelfas Córdoba. </w:t>
            </w:r>
          </w:p>
        </w:tc>
      </w:tr>
    </w:tbl>
    <w:p w14:paraId="4A4A2877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p w14:paraId="19FF2850" w14:textId="77777777" w:rsidR="00EA75BC" w:rsidRPr="00EA75BC" w:rsidRDefault="00EA75BC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510"/>
        <w:gridCol w:w="227"/>
      </w:tblGrid>
      <w:tr w:rsidR="00EA75BC" w:rsidRPr="00EA75BC" w14:paraId="6D4BA701" w14:textId="77777777">
        <w:trPr>
          <w:trHeight w:val="396"/>
        </w:trPr>
        <w:tc>
          <w:tcPr>
            <w:tcW w:w="2863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6CBA38B0" w14:textId="77777777" w:rsidR="00EA75BC" w:rsidRPr="00EA75BC" w:rsidRDefault="00EA75BC" w:rsidP="00EA75BC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EA75BC"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  <w:tc>
          <w:tcPr>
            <w:tcW w:w="737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3F1D978C" w14:textId="77777777" w:rsidR="00EA75BC" w:rsidRPr="00EA75BC" w:rsidRDefault="00EA75BC" w:rsidP="00EA75BC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EA75BC" w:rsidRPr="00EA75BC" w14:paraId="425B01D0" w14:textId="77777777">
        <w:trPr>
          <w:trHeight w:hRule="exact" w:val="60"/>
        </w:trPr>
        <w:tc>
          <w:tcPr>
            <w:tcW w:w="2863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A52C6B4" w14:textId="77777777" w:rsidR="00EA75BC" w:rsidRPr="00EA75BC" w:rsidRDefault="00EA75BC" w:rsidP="00EA75BC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1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249DAC40" w14:textId="77777777" w:rsidR="00EA75BC" w:rsidRPr="00EA75BC" w:rsidRDefault="00EA75BC" w:rsidP="00EA75BC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FE5EA51" w14:textId="77777777" w:rsidR="00EA75BC" w:rsidRPr="00EA75BC" w:rsidRDefault="00EA75BC" w:rsidP="00EA75BC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EA75BC" w:rsidRPr="00EA75BC" w14:paraId="352FABC3" w14:textId="77777777">
        <w:trPr>
          <w:trHeight w:val="60"/>
        </w:trPr>
        <w:tc>
          <w:tcPr>
            <w:tcW w:w="2863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86160FB" w14:textId="77777777" w:rsidR="00EA75BC" w:rsidRPr="00EA75BC" w:rsidRDefault="00EA75BC" w:rsidP="00EA75BC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AD23D8D" w14:textId="737312E1" w:rsidR="00EA75BC" w:rsidRPr="00EA75BC" w:rsidRDefault="00EA75BC" w:rsidP="00EA75B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2.</w:t>
            </w:r>
            <w:r w:rsidR="00F53321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</w:t>
            </w:r>
            <w:r w:rsidRPr="00EA75BC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00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3E8FFED3" w14:textId="77777777" w:rsidR="00EA75BC" w:rsidRPr="00EA75BC" w:rsidRDefault="00EA75BC" w:rsidP="00EA75B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EA75BC" w:rsidRPr="00EA75BC" w14:paraId="27A13EC8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0DD19C8" w14:textId="77777777" w:rsidR="00EA75BC" w:rsidRPr="00EA75BC" w:rsidRDefault="00EA75BC" w:rsidP="00EA75BC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D32BB23" w14:textId="77777777" w:rsidR="00EA75BC" w:rsidRPr="00EA75BC" w:rsidRDefault="00EA75BC" w:rsidP="00EA75B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775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5E42115E" w14:textId="77777777" w:rsidR="00EA75BC" w:rsidRPr="00EA75BC" w:rsidRDefault="00EA75BC" w:rsidP="00EA75B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EA75BC" w:rsidRPr="00EA75BC" w14:paraId="51022FAA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FF24D41" w14:textId="77777777" w:rsidR="00EA75BC" w:rsidRPr="00EA75BC" w:rsidRDefault="00EA75BC" w:rsidP="00EA75BC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EA75BC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D8AA535" w14:textId="77777777" w:rsidR="00EA75BC" w:rsidRPr="00EA75BC" w:rsidRDefault="00EA75BC" w:rsidP="00EA75B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0AF0BFFE" w14:textId="77777777" w:rsidR="00EA75BC" w:rsidRPr="00EA75BC" w:rsidRDefault="00EA75BC" w:rsidP="00EA75B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EA75BC" w:rsidRPr="00EA75BC" w14:paraId="1B308D6B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BEB7608" w14:textId="77777777" w:rsidR="00EA75BC" w:rsidRPr="00EA75BC" w:rsidRDefault="00EA75BC" w:rsidP="00EA75BC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Supl. salidas </w:t>
            </w:r>
          </w:p>
          <w:p w14:paraId="731BF29C" w14:textId="77777777" w:rsidR="00EA75BC" w:rsidRPr="00EA75BC" w:rsidRDefault="00EA75BC" w:rsidP="00EA75BC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Abril 5, 19, 26 (S. Santa y Feria) </w:t>
            </w:r>
          </w:p>
          <w:p w14:paraId="1237457C" w14:textId="77777777" w:rsidR="00EA75BC" w:rsidRPr="00EA75BC" w:rsidRDefault="00EA75BC" w:rsidP="00EA75BC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Marzo 27 (S. Santa 2024)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D714E6E" w14:textId="77777777" w:rsidR="00EA75BC" w:rsidRPr="00EA75BC" w:rsidRDefault="00EA75BC" w:rsidP="00EA75B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2EDACE7E" w14:textId="77777777" w:rsidR="00EA75BC" w:rsidRPr="00EA75BC" w:rsidRDefault="00EA75BC" w:rsidP="00EA75B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A75BC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EA75BC" w:rsidRPr="00EA75BC" w14:paraId="24823E36" w14:textId="77777777">
        <w:trPr>
          <w:trHeight w:hRule="exact" w:val="60"/>
        </w:trPr>
        <w:tc>
          <w:tcPr>
            <w:tcW w:w="2863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0CF3" w14:textId="77777777" w:rsidR="00EA75BC" w:rsidRPr="00EA75BC" w:rsidRDefault="00EA75BC" w:rsidP="00EA75BC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A045" w14:textId="77777777" w:rsidR="00EA75BC" w:rsidRPr="00EA75BC" w:rsidRDefault="00EA75BC" w:rsidP="00EA75BC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7798304F" w14:textId="77777777" w:rsidR="00EA75BC" w:rsidRPr="00EA75BC" w:rsidRDefault="00EA75BC" w:rsidP="00EA75BC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EA75BC" w:rsidRPr="00EA75BC" w14:paraId="1FEAA7CD" w14:textId="77777777">
        <w:trPr>
          <w:trHeight w:val="60"/>
        </w:trPr>
        <w:tc>
          <w:tcPr>
            <w:tcW w:w="3600" w:type="dxa"/>
            <w:gridSpan w:val="3"/>
            <w:tcBorders>
              <w:top w:val="single" w:sz="3" w:space="0" w:color="3F3F3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14:paraId="33996CAB" w14:textId="77777777" w:rsidR="00EA75BC" w:rsidRPr="00EA75BC" w:rsidRDefault="00EA75BC" w:rsidP="00EA75BC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EA75BC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</w:tc>
      </w:tr>
    </w:tbl>
    <w:p w14:paraId="0834287C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p w14:paraId="5401DBB0" w14:textId="77777777" w:rsidR="00EA75BC" w:rsidRPr="00EA75BC" w:rsidRDefault="00EA75BC" w:rsidP="00EA75BC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190" w:lineRule="atLeast"/>
        <w:jc w:val="both"/>
        <w:textAlignment w:val="center"/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</w:pPr>
      <w:r w:rsidRPr="00EA75BC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 xml:space="preserve">*En el caso de que el </w:t>
      </w:r>
      <w:r w:rsidRPr="00EA75BC">
        <w:rPr>
          <w:rFonts w:ascii="Avenir Next Demi Bold" w:hAnsi="Avenir Next Demi Bold" w:cs="Avenir Next Demi Bold"/>
          <w:b/>
          <w:bCs/>
          <w:color w:val="000000"/>
          <w:w w:val="75"/>
          <w:sz w:val="16"/>
          <w:szCs w:val="16"/>
          <w:lang w:val="es-ES_tradnl"/>
        </w:rPr>
        <w:t>Patronato de La Alhambra y Generalife</w:t>
      </w:r>
      <w:r w:rsidRPr="00EA75BC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>, en algunas fechas, no conceda las entradas para los participantes de la Visita, en su lugar realizaremos una visita de la ciudad de Granada:  Visita al Palacio de Carlos V, Museo Arqueológico, Iglesia de Santa María de la Alhambra, Capilla Real y paseo por la ciudad con la Alcaicería y la Plaza de la Catedral.</w:t>
      </w:r>
    </w:p>
    <w:p w14:paraId="6655C314" w14:textId="77777777" w:rsidR="00EA75BC" w:rsidRPr="00EA75BC" w:rsidRDefault="00EA75BC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EA75BC" w:rsidRPr="00EA75BC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E3AD" w14:textId="77777777" w:rsidR="00680AE8" w:rsidRDefault="00680AE8" w:rsidP="00473689">
      <w:r>
        <w:separator/>
      </w:r>
    </w:p>
  </w:endnote>
  <w:endnote w:type="continuationSeparator" w:id="0">
    <w:p w14:paraId="59ACB098" w14:textId="77777777" w:rsidR="00680AE8" w:rsidRDefault="00680AE8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36BB" w14:textId="77777777" w:rsidR="00680AE8" w:rsidRDefault="00680AE8" w:rsidP="00473689">
      <w:r>
        <w:separator/>
      </w:r>
    </w:p>
  </w:footnote>
  <w:footnote w:type="continuationSeparator" w:id="0">
    <w:p w14:paraId="24B1B8F8" w14:textId="77777777" w:rsidR="00680AE8" w:rsidRDefault="00680AE8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914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255D40"/>
    <w:rsid w:val="00473689"/>
    <w:rsid w:val="004D0B2F"/>
    <w:rsid w:val="004D65D2"/>
    <w:rsid w:val="005041B2"/>
    <w:rsid w:val="005B20B4"/>
    <w:rsid w:val="006608D5"/>
    <w:rsid w:val="00680AE8"/>
    <w:rsid w:val="0076603C"/>
    <w:rsid w:val="007676EC"/>
    <w:rsid w:val="00790CD8"/>
    <w:rsid w:val="008C2DC0"/>
    <w:rsid w:val="009266EB"/>
    <w:rsid w:val="00AF48FA"/>
    <w:rsid w:val="00CB7923"/>
    <w:rsid w:val="00CD5730"/>
    <w:rsid w:val="00D000AA"/>
    <w:rsid w:val="00D61564"/>
    <w:rsid w:val="00D94B59"/>
    <w:rsid w:val="00DA5750"/>
    <w:rsid w:val="00EA75BC"/>
    <w:rsid w:val="00EE5CAB"/>
    <w:rsid w:val="00F53321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1550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notaitinerarioguionitinerario">
    <w:name w:val="nota itinerario guion (itinerario)"/>
    <w:basedOn w:val="Textoitinerario"/>
    <w:uiPriority w:val="99"/>
    <w:rsid w:val="00EA75BC"/>
    <w:pPr>
      <w:spacing w:line="200" w:lineRule="atLeast"/>
      <w:ind w:left="113" w:hanging="113"/>
    </w:pPr>
    <w:rPr>
      <w:sz w:val="15"/>
      <w:szCs w:val="15"/>
    </w:rPr>
  </w:style>
  <w:style w:type="character" w:customStyle="1" w:styleId="negritanotaitinerario">
    <w:name w:val="negrita nota itinerario"/>
    <w:basedOn w:val="Negrita"/>
    <w:uiPriority w:val="99"/>
    <w:rsid w:val="00EA75BC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1009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16</cp:revision>
  <dcterms:created xsi:type="dcterms:W3CDTF">2021-11-22T11:41:00Z</dcterms:created>
  <dcterms:modified xsi:type="dcterms:W3CDTF">2023-02-24T02:53:00Z</dcterms:modified>
</cp:coreProperties>
</file>